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1D" w:rsidRPr="00BF481D" w:rsidRDefault="00BF481D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rPr>
          <w:rFonts w:ascii="Times New Roman" w:hAnsi="Times New Roman"/>
          <w:color w:val="auto"/>
          <w:sz w:val="24"/>
          <w:szCs w:val="24"/>
        </w:rPr>
      </w:pPr>
    </w:p>
    <w:p w:rsidR="00BF481D" w:rsidRPr="00BF481D" w:rsidRDefault="00BF481D" w:rsidP="00BF481D">
      <w:pPr>
        <w:rPr>
          <w:rFonts w:ascii="Times New Roman" w:hAnsi="Times New Roman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BF481D">
        <w:rPr>
          <w:rFonts w:ascii="Times New Roman" w:hAnsi="Times New Roman"/>
          <w:color w:val="auto"/>
          <w:sz w:val="24"/>
          <w:szCs w:val="24"/>
        </w:rPr>
        <w:t xml:space="preserve">Д О Г О В О </w:t>
      </w:r>
      <w:proofErr w:type="gramStart"/>
      <w:r w:rsidRPr="00BF481D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</w:p>
    <w:p w:rsidR="00BF481D" w:rsidRPr="00BF481D" w:rsidRDefault="00BF481D" w:rsidP="00BF481D">
      <w:pPr>
        <w:tabs>
          <w:tab w:val="left" w:pos="3869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BF481D">
        <w:rPr>
          <w:rFonts w:ascii="Times New Roman" w:hAnsi="Times New Roman"/>
          <w:color w:val="auto"/>
          <w:sz w:val="24"/>
          <w:szCs w:val="24"/>
        </w:rPr>
        <w:t>купли – продажи недвижимого имущества</w:t>
      </w:r>
    </w:p>
    <w:p w:rsidR="00BF481D" w:rsidRPr="00BF481D" w:rsidRDefault="00BF481D" w:rsidP="00BF481D">
      <w:pPr>
        <w:tabs>
          <w:tab w:val="left" w:pos="3869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rPr>
          <w:rFonts w:ascii="Times New Roman" w:hAnsi="Times New Roman"/>
          <w:color w:val="auto"/>
          <w:sz w:val="24"/>
          <w:szCs w:val="24"/>
        </w:rPr>
      </w:pPr>
      <w:r w:rsidRPr="00BF481D">
        <w:rPr>
          <w:rFonts w:ascii="Times New Roman" w:hAnsi="Times New Roman"/>
          <w:color w:val="auto"/>
          <w:sz w:val="24"/>
          <w:szCs w:val="24"/>
        </w:rPr>
        <w:t>город Южа Ивановской области                                         ________________________________</w:t>
      </w:r>
    </w:p>
    <w:p w:rsidR="00BF481D" w:rsidRPr="00BF481D" w:rsidRDefault="00BF481D" w:rsidP="00BF481D">
      <w:pPr>
        <w:tabs>
          <w:tab w:val="left" w:pos="3869"/>
        </w:tabs>
        <w:rPr>
          <w:rFonts w:ascii="Times New Roman" w:hAnsi="Times New Roman"/>
          <w:color w:val="auto"/>
          <w:sz w:val="24"/>
          <w:szCs w:val="24"/>
        </w:rPr>
      </w:pPr>
      <w:r w:rsidRPr="00BF481D">
        <w:rPr>
          <w:rFonts w:ascii="Times New Roman" w:hAnsi="Times New Roman"/>
          <w:color w:val="auto"/>
          <w:sz w:val="24"/>
          <w:szCs w:val="24"/>
        </w:rPr>
        <w:tab/>
      </w:r>
    </w:p>
    <w:p w:rsidR="00BF481D" w:rsidRPr="00BF481D" w:rsidRDefault="00BF481D" w:rsidP="00BF481D">
      <w:pPr>
        <w:tabs>
          <w:tab w:val="left" w:pos="3869"/>
        </w:tabs>
        <w:rPr>
          <w:rFonts w:ascii="Times New Roman" w:hAnsi="Times New Roman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ЮЖСКИЙ МУНИЦИПАЛЬНЫЙ РАЙОН, от имени и в интересах которого выступает Комитет по управлению муниципальным имуществом администрации Южского муниципального района Ивановской области,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, в лице председателя </w:t>
      </w:r>
      <w:proofErr w:type="spell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Серениной</w:t>
      </w:r>
      <w:proofErr w:type="spell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Натальи Викторовны,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_____________________, именуемый в дальнейшем «Покупатель», с другой стороны, заключили настоящий договор о нижеследующем: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и Протокола подведения итогов процедуры __________________от ________________года.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2. «Продавец» обязуется передать, а «Покупатель» обязуется принять в собственность и оплатить объекты недвижимого  имущества: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Ивановская область, </w:t>
      </w:r>
      <w:proofErr w:type="spell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район, с. Моста, ул. Восточная, д. 3 (далее – нежилое здание (школа));</w:t>
      </w:r>
      <w:proofErr w:type="gramEnd"/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- земельный участок с кадастровым номером 37:21:040404:50, адрес: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Ивановская область, </w:t>
      </w:r>
      <w:proofErr w:type="spell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3. Отчуждаемое недвижимое имущество принадлежит </w:t>
      </w:r>
      <w:proofErr w:type="spell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Южскому</w:t>
      </w:r>
      <w:proofErr w:type="spell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муниципальному району на  основании: выписок из ЕГРН (запись регистрации №37-37-06/083/2010-358 от 31.03.2010 года и № 37-37-06/201/2013-659 от 13.08.2013 года).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         4. Рыночная стоимость недвижимого имущества,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согласно отчета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об оценке от 12.08.2021 года № 14/11-220 в размере 439920,00 руб. (четыреста тридцать девять тысяч девятьсот двадцать рублей 00 копеек) с учетом НДС, в том числе: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- нежилого здания (школа) – 338738,00 руб. (триста тридцать восемь тысяч семьсот тридцать восемь рублей 00 копеек);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        - земельного участка – 101 182,00 руб. (сто одна тысяча сто восемьдесят два рубля 00 копеек).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5. Покупатель приобретает недвижимое имущество у Продавца по цене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_______ (_________) 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>рублей.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Оплата имущества покупателем производится в течение 10 (десяти) календарных дней после подписания договора купли-продажи имущества по следующим реквизитам: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0" w:name="_GoBack"/>
      <w:bookmarkEnd w:id="0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л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>/с 04333015290) ИНН 3726002437, КПП 372601001. 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Покупатель обязан компенсировать Продавцу расходы на проведение оценочных работ в отношении недвижимого имущества в сумме 5000,00 руб. (пять тысяч рублей 00 копеек).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Оплата услуг независимого оценщика по определению рыночной стоимости имущества осуществляются в течение 10 (десяти) календарных дней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с даты подписания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настоящего договора по следующим реквизитам: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- Наименование получателя платежа: УФК по Ивановской области (КУМИ администрации Южского муниципального района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л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>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24635101, КБК 04111302995050001130. Наименование платежа: Оплата оценочных работ.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6. В соответствии с пунктом 1 статьи 143 Налогового кодекса Российской Федерации Покупатель самостоятельно уплачивает в бюджет  НДС в сумме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 - _______ (_________) 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>рублей (в случае если претендент является индивидуальным предпринимателем).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Просрочка внесения денежных сре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дств в сч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BF481D">
        <w:rPr>
          <w:rFonts w:ascii="Times New Roman" w:hAnsi="Times New Roman"/>
          <w:b w:val="0"/>
          <w:color w:val="auto"/>
          <w:sz w:val="24"/>
          <w:szCs w:val="24"/>
        </w:rPr>
        <w:t>с даты отправления</w:t>
      </w:r>
      <w:proofErr w:type="gramEnd"/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Оформление Сторонами дополнительного соглашения о расторжении настоящего договора не требуется.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15. Настоящий договор составлен в двух экземплярах, по одному экземпляру на руки Сторонам договора.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16. ПОДПИСИ  СТОРОН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Продавец_____________________ Н.В. Серенина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>Покупатель___________________ ____________________________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F481D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(фамилия, имя, отчество)</w:t>
      </w: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F481D" w:rsidRPr="00BF481D" w:rsidRDefault="00BF481D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B1A3C" w:rsidRPr="00BF481D" w:rsidRDefault="000B1A3C" w:rsidP="00BF481D">
      <w:pPr>
        <w:tabs>
          <w:tab w:val="left" w:pos="3869"/>
        </w:tabs>
        <w:jc w:val="both"/>
        <w:rPr>
          <w:rFonts w:ascii="Times New Roman" w:hAnsi="Times New Roman"/>
          <w:b w:val="0"/>
          <w:sz w:val="24"/>
          <w:szCs w:val="24"/>
        </w:rPr>
      </w:pPr>
    </w:p>
    <w:sectPr w:rsidR="000B1A3C" w:rsidRPr="00BF481D" w:rsidSect="00BF481D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1D" w:rsidRDefault="00BF481D" w:rsidP="00BF481D">
      <w:r>
        <w:separator/>
      </w:r>
    </w:p>
  </w:endnote>
  <w:endnote w:type="continuationSeparator" w:id="0">
    <w:p w:rsidR="00BF481D" w:rsidRDefault="00BF481D" w:rsidP="00BF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1D" w:rsidRDefault="00BF481D" w:rsidP="00BF481D">
      <w:r>
        <w:separator/>
      </w:r>
    </w:p>
  </w:footnote>
  <w:footnote w:type="continuationSeparator" w:id="0">
    <w:p w:rsidR="00BF481D" w:rsidRDefault="00BF481D" w:rsidP="00BF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0"/>
    <w:rsid w:val="000B1A3C"/>
    <w:rsid w:val="001C659C"/>
    <w:rsid w:val="003C458A"/>
    <w:rsid w:val="00A35439"/>
    <w:rsid w:val="00BF481D"/>
    <w:rsid w:val="00D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BF4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81D"/>
    <w:rPr>
      <w:rFonts w:ascii="Mistral" w:hAnsi="Mistral"/>
      <w:b/>
      <w:color w:val="FF0000"/>
      <w:sz w:val="40"/>
      <w:szCs w:val="40"/>
      <w:lang w:eastAsia="ar-SA"/>
    </w:rPr>
  </w:style>
  <w:style w:type="paragraph" w:styleId="ab">
    <w:name w:val="footer"/>
    <w:basedOn w:val="a"/>
    <w:link w:val="ac"/>
    <w:uiPriority w:val="99"/>
    <w:unhideWhenUsed/>
    <w:rsid w:val="00BF4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81D"/>
    <w:rPr>
      <w:rFonts w:ascii="Mistral" w:hAnsi="Mistral"/>
      <w:b/>
      <w:color w:val="FF0000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BF4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81D"/>
    <w:rPr>
      <w:rFonts w:ascii="Mistral" w:hAnsi="Mistral"/>
      <w:b/>
      <w:color w:val="FF0000"/>
      <w:sz w:val="40"/>
      <w:szCs w:val="40"/>
      <w:lang w:eastAsia="ar-SA"/>
    </w:rPr>
  </w:style>
  <w:style w:type="paragraph" w:styleId="ab">
    <w:name w:val="footer"/>
    <w:basedOn w:val="a"/>
    <w:link w:val="ac"/>
    <w:uiPriority w:val="99"/>
    <w:unhideWhenUsed/>
    <w:rsid w:val="00BF4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81D"/>
    <w:rPr>
      <w:rFonts w:ascii="Mistral" w:hAnsi="Mistral"/>
      <w:b/>
      <w:color w:val="FF0000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2022-11-08T11:56:00Z</dcterms:created>
  <dcterms:modified xsi:type="dcterms:W3CDTF">2022-11-08T12:00:00Z</dcterms:modified>
</cp:coreProperties>
</file>